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sz w:val="32"/>
          <w:szCs w:val="32"/>
        </w:rPr>
        <w:t>Yorkshire Small Bore Rifle &amp; Pistol Association</w:t>
      </w:r>
    </w:p>
    <w:p>
      <w:pPr>
        <w:pStyle w:val="Normal"/>
        <w:jc w:val="center"/>
        <w:rPr>
          <w:sz w:val="24"/>
          <w:szCs w:val="24"/>
        </w:rPr>
      </w:pPr>
      <w:r>
        <w:rPr>
          <w:sz w:val="24"/>
          <w:szCs w:val="24"/>
        </w:rPr>
        <w:t>Short Range Rifle Championship 202</w:t>
      </w:r>
      <w:r>
        <w:rPr>
          <w:sz w:val="24"/>
          <w:szCs w:val="24"/>
        </w:rPr>
        <w:t>7</w:t>
      </w:r>
    </w:p>
    <w:p>
      <w:pPr>
        <w:pStyle w:val="Normal"/>
        <w:rPr>
          <w:sz w:val="24"/>
          <w:szCs w:val="24"/>
        </w:rPr>
      </w:pPr>
      <w:r>
        <w:rPr>
          <w:sz w:val="24"/>
          <w:szCs w:val="24"/>
        </w:rPr>
        <w:t>The short range championship will be shot in 4 classes over two stages each stage consisting of 30 shots, averages must be submitted based on the best 10 of the last 12 scores attained on NSRA 1989 series targets at 15, 20 or 25 yards.</w:t>
      </w:r>
    </w:p>
    <w:p>
      <w:pPr>
        <w:pStyle w:val="Normal"/>
        <w:rPr>
          <w:sz w:val="24"/>
          <w:szCs w:val="24"/>
        </w:rPr>
      </w:pPr>
      <w:r>
        <w:rPr>
          <w:sz w:val="24"/>
          <w:szCs w:val="24"/>
        </w:rPr>
        <w:t>A class 97.5 and above   Bardsey Trophy   B class 95.6 to 97.4  Doncaster Comrades trophy</w:t>
      </w:r>
    </w:p>
    <w:p>
      <w:pPr>
        <w:pStyle w:val="Normal"/>
        <w:rPr>
          <w:sz w:val="24"/>
          <w:szCs w:val="24"/>
        </w:rPr>
      </w:pPr>
      <w:r>
        <w:rPr>
          <w:sz w:val="24"/>
          <w:szCs w:val="24"/>
        </w:rPr>
        <w:t xml:space="preserve">C class 93.1 to 95.5  John Simmonds Cup  D class below 93.1  Machin Shield </w:t>
      </w:r>
    </w:p>
    <w:p>
      <w:pPr>
        <w:pStyle w:val="Normal"/>
        <w:rPr>
          <w:sz w:val="24"/>
          <w:szCs w:val="24"/>
        </w:rPr>
      </w:pPr>
      <w:r>
        <w:rPr>
          <w:sz w:val="24"/>
          <w:szCs w:val="24"/>
        </w:rPr>
        <w:t>Veterans over 60, irrespective of class, for the Senior Service Casket</w:t>
      </w:r>
    </w:p>
    <w:p>
      <w:pPr>
        <w:pStyle w:val="Normal"/>
        <w:rPr>
          <w:sz w:val="24"/>
          <w:szCs w:val="24"/>
        </w:rPr>
      </w:pPr>
      <w:r>
        <w:rPr>
          <w:sz w:val="24"/>
          <w:szCs w:val="24"/>
        </w:rPr>
        <w:t>Those shooters with the top 10 and equal scores in the first stage, irrespective of class, will shoot in the second stage to determine the overall champion for the Bergson Sutcliffe Cup. Those competitors finishing in the top three places in each class in the first stage will receive Yorkshire County medals.</w:t>
      </w:r>
    </w:p>
    <w:p>
      <w:pPr>
        <w:pStyle w:val="Normal"/>
        <w:rPr>
          <w:sz w:val="24"/>
          <w:szCs w:val="24"/>
        </w:rPr>
      </w:pPr>
      <w:r>
        <w:rPr>
          <w:sz w:val="24"/>
          <w:szCs w:val="24"/>
        </w:rPr>
        <w:t>The last date for shooting stage one is the 31</w:t>
      </w:r>
      <w:r>
        <w:rPr>
          <w:sz w:val="24"/>
          <w:szCs w:val="24"/>
          <w:vertAlign w:val="superscript"/>
        </w:rPr>
        <w:t>st</w:t>
      </w:r>
      <w:r>
        <w:rPr>
          <w:sz w:val="24"/>
          <w:szCs w:val="24"/>
        </w:rPr>
        <w:t xml:space="preserve"> December 202</w:t>
      </w:r>
      <w:bookmarkStart w:id="0" w:name="_GoBack"/>
      <w:bookmarkEnd w:id="0"/>
      <w:r>
        <w:rPr>
          <w:sz w:val="24"/>
          <w:szCs w:val="24"/>
        </w:rPr>
        <w:t>6</w:t>
      </w:r>
      <w:r>
        <w:rPr>
          <w:sz w:val="24"/>
          <w:szCs w:val="24"/>
        </w:rPr>
        <w:t xml:space="preserve"> with all three cards being shot on the same day, shot cards, or club scores, to be with the scrutineer no later than 10 days after the last permitted day for shooting. </w:t>
      </w:r>
    </w:p>
    <w:p>
      <w:pPr>
        <w:pStyle w:val="Normal"/>
        <w:rPr>
          <w:sz w:val="24"/>
          <w:szCs w:val="24"/>
        </w:rPr>
      </w:pPr>
      <w:r>
        <w:rPr>
          <w:sz w:val="24"/>
          <w:szCs w:val="24"/>
        </w:rPr>
        <w:t>Entry fees are £4 unless the competitor is under 21 when it is £1. Payment by cheque to Yorkshire Small Bore Rifle &amp; Pistol Association or electronic transfer HSBC Yorkshire Small Bore Rifle &amp; Pistol Association sort code 40-25-20 account 81463233 the last day of entry is 31st October and the entry form and fees should be sent to M J Barnett, 24, Potterdale Drive, Little Weighton HU20 3UX who is also the scrutineer for Stage 1.</w:t>
      </w:r>
    </w:p>
    <w:p>
      <w:pPr>
        <w:pStyle w:val="Normal"/>
        <w:rPr>
          <w:sz w:val="24"/>
          <w:szCs w:val="24"/>
        </w:rPr>
      </w:pPr>
      <w:r>
        <w:rPr>
          <w:sz w:val="24"/>
          <w:szCs w:val="24"/>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80"/>
        <w:gridCol w:w="913"/>
        <w:gridCol w:w="647"/>
        <w:gridCol w:w="237"/>
        <w:gridCol w:w="2943"/>
        <w:gridCol w:w="709"/>
        <w:gridCol w:w="677"/>
        <w:gridCol w:w="236"/>
      </w:tblGrid>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t>Name</w:t>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t>Avge</w:t>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t>Vet</w:t>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t>Name</w:t>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t>Avge</w:t>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t>Vet</w:t>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r>
        <w:trPr/>
        <w:tc>
          <w:tcPr>
            <w:tcW w:w="2880"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91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4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943"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709"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677"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c>
          <w:tcPr>
            <w:tcW w:w="236" w:type="dxa"/>
            <w:tcBorders/>
          </w:tcPr>
          <w:p>
            <w:pPr>
              <w:pStyle w:val="Normal"/>
              <w:widowControl/>
              <w:spacing w:lineRule="auto" w:line="240" w:before="0" w:after="0"/>
              <w:jc w:val="start"/>
              <w:rPr>
                <w:sz w:val="24"/>
                <w:szCs w:val="24"/>
              </w:rPr>
            </w:pPr>
            <w:r>
              <w:rPr>
                <w:rFonts w:eastAsia="Calibri" w:cs=""/>
                <w:kern w:val="0"/>
                <w:sz w:val="24"/>
                <w:szCs w:val="24"/>
                <w:lang w:val="en-GB" w:eastAsia="en-US" w:bidi="ar-SA"/>
              </w:rPr>
            </w:r>
          </w:p>
        </w:tc>
      </w:tr>
    </w:tbl>
    <w:p>
      <w:pPr>
        <w:pStyle w:val="Normal"/>
        <w:rPr>
          <w:sz w:val="24"/>
          <w:szCs w:val="24"/>
        </w:rPr>
      </w:pPr>
      <w:r>
        <w:rPr>
          <w:sz w:val="24"/>
          <w:szCs w:val="24"/>
        </w:rPr>
      </w:r>
    </w:p>
    <w:p>
      <w:pPr>
        <w:pStyle w:val="Normal"/>
        <w:rPr>
          <w:sz w:val="24"/>
          <w:szCs w:val="24"/>
        </w:rPr>
      </w:pPr>
      <w:r>
        <w:rPr>
          <w:sz w:val="24"/>
          <w:szCs w:val="24"/>
        </w:rPr>
        <w:t>In your capacity as correspondent you need to be sure that all members of your club who have entered have given permission for their name, class and club affiliation to be used in the published results</w:t>
      </w:r>
    </w:p>
    <w:p>
      <w:pPr>
        <w:pStyle w:val="Normal"/>
        <w:rPr>
          <w:sz w:val="24"/>
          <w:szCs w:val="24"/>
        </w:rPr>
      </w:pPr>
      <w:r>
        <w:rPr>
          <w:sz w:val="24"/>
          <w:szCs w:val="24"/>
        </w:rPr>
        <w:t>Stickers to</w:t>
      </w:r>
    </w:p>
    <w:p>
      <w:pPr>
        <w:pStyle w:val="Normal"/>
        <w:rPr>
          <w:sz w:val="24"/>
          <w:szCs w:val="24"/>
        </w:rPr>
      </w:pPr>
      <w:r>
        <w:rPr>
          <w:sz w:val="24"/>
          <w:szCs w:val="24"/>
        </w:rPr>
      </w:r>
    </w:p>
    <w:p>
      <w:pPr>
        <w:pStyle w:val="Normal"/>
        <w:rPr>
          <w:sz w:val="24"/>
          <w:szCs w:val="24"/>
        </w:rPr>
      </w:pPr>
      <w:r>
        <w:rPr>
          <w:sz w:val="24"/>
          <w:szCs w:val="24"/>
        </w:rPr>
      </w:r>
    </w:p>
    <w:p>
      <w:pPr>
        <w:pStyle w:val="Normal"/>
        <w:spacing w:before="0" w:after="200"/>
        <w:rPr>
          <w:sz w:val="24"/>
          <w:szCs w:val="24"/>
        </w:rPr>
      </w:pPr>
      <w:r>
        <w:rPr>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023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LibreOffice/25.8.6.2$Windows_X86_64 LibreOffice_project/b4b39682cd9868fa725bc664aff94278d315bd04</Application>
  <AppVersion>15.0000</AppVersion>
  <Pages>2</Pages>
  <Words>316</Words>
  <Characters>1484</Characters>
  <CharactersWithSpaces>1792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2013-04-12T10:04:00Z</dcterms:created>
  <dc:creator>Barnett</dc:creator>
  <dc:description/>
  <dc:language>en-GB</dc:language>
  <cp:lastModifiedBy/>
  <dcterms:modified xsi:type="dcterms:W3CDTF">2026-06-19T14:02:29Z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